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10669" w14:textId="7CB9AEDF" w:rsidR="00E201A8" w:rsidRDefault="00125A5E" w:rsidP="00E201A8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5DE5A22" wp14:editId="3185FFF9">
                <wp:simplePos x="0" y="0"/>
                <wp:positionH relativeFrom="column">
                  <wp:posOffset>-247650</wp:posOffset>
                </wp:positionH>
                <wp:positionV relativeFrom="paragraph">
                  <wp:posOffset>-582930</wp:posOffset>
                </wp:positionV>
                <wp:extent cx="6423660" cy="134493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134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15B744" w14:textId="77777777" w:rsidR="00E201A8" w:rsidRDefault="00E201A8" w:rsidP="00E201A8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FALCON FIRE PROTECTION DISTRICT</w:t>
                            </w:r>
                          </w:p>
                          <w:p w14:paraId="3D247F19" w14:textId="7A66F127" w:rsidR="00E201A8" w:rsidRDefault="008019C8" w:rsidP="00E201A8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Fire Prevention Division</w:t>
                            </w:r>
                          </w:p>
                          <w:p w14:paraId="3C2CC24A" w14:textId="77777777" w:rsidR="00E201A8" w:rsidRDefault="00E201A8" w:rsidP="00E201A8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7030 Old Meridian Road</w:t>
                            </w:r>
                          </w:p>
                          <w:p w14:paraId="1C26736B" w14:textId="77777777" w:rsidR="00E201A8" w:rsidRDefault="00E201A8" w:rsidP="00E201A8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Falcon, Colorado 80831</w:t>
                            </w:r>
                          </w:p>
                          <w:p w14:paraId="0A267DE1" w14:textId="403FFD2B" w:rsidR="00E201A8" w:rsidRDefault="00E201A8" w:rsidP="00E201A8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Business Number: 719-495-4050     Business Fax: 719-495-3112</w:t>
                            </w:r>
                          </w:p>
                          <w:p w14:paraId="71E021CD" w14:textId="1C83A7E4" w:rsidR="0093540F" w:rsidRDefault="00B60E59" w:rsidP="00E201A8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www.falconfirepd.org</w:t>
                            </w:r>
                          </w:p>
                          <w:p w14:paraId="01B7E873" w14:textId="77777777" w:rsidR="00E201A8" w:rsidRDefault="00E201A8" w:rsidP="00E201A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 </w:t>
                            </w:r>
                          </w:p>
                          <w:p w14:paraId="075D30BD" w14:textId="77777777" w:rsidR="00E201A8" w:rsidRDefault="00E201A8" w:rsidP="00E201A8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 </w:t>
                            </w:r>
                          </w:p>
                          <w:p w14:paraId="1D23758B" w14:textId="762375A1" w:rsidR="00E201A8" w:rsidRDefault="00125A5E" w:rsidP="00E201A8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34A7C9" wp14:editId="170D5931">
                                  <wp:extent cx="847725" cy="819150"/>
                                  <wp:effectExtent l="0" t="0" r="0" b="0"/>
                                  <wp:docPr id="9" name="Picture 9" descr="50th Day Of School Clipart - 50th Day Of School Clip Art , Free ...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50th Day Of School Clipart - 50th Day Of School Clip Art , Free ...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E5A2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9.5pt;margin-top:-45.9pt;width:505.8pt;height:105.9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" filled="f" fillcolor="#5b9bd5" stroked="f" strokeweight="2pt">
                <v:textbox inset="2.88pt,2.88pt,2.88pt,2.88pt">
                  <w:txbxContent>
                    <w:p w14:paraId="5515B744" w14:textId="77777777" w:rsidR="00E201A8" w:rsidRDefault="00E201A8" w:rsidP="00E201A8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FALCON FIRE PROTECTION DISTRICT</w:t>
                      </w:r>
                    </w:p>
                    <w:p w14:paraId="3D247F19" w14:textId="7A66F127" w:rsidR="00E201A8" w:rsidRDefault="008019C8" w:rsidP="00E201A8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Fire Prevention Division</w:t>
                      </w:r>
                    </w:p>
                    <w:p w14:paraId="3C2CC24A" w14:textId="77777777" w:rsidR="00E201A8" w:rsidRDefault="00E201A8" w:rsidP="00E201A8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7030 Old Meridian Road</w:t>
                      </w:r>
                    </w:p>
                    <w:p w14:paraId="1C26736B" w14:textId="77777777" w:rsidR="00E201A8" w:rsidRDefault="00E201A8" w:rsidP="00E201A8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Falcon, Colorado 80831</w:t>
                      </w:r>
                    </w:p>
                    <w:p w14:paraId="0A267DE1" w14:textId="403FFD2B" w:rsidR="00E201A8" w:rsidRDefault="00E201A8" w:rsidP="00E201A8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Business Number: 719-495-4050     Business Fax: 719-495-3112</w:t>
                      </w:r>
                    </w:p>
                    <w:p w14:paraId="71E021CD" w14:textId="1C83A7E4" w:rsidR="0093540F" w:rsidRDefault="00B60E59" w:rsidP="00E201A8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www.falconfirepd.org</w:t>
                      </w:r>
                    </w:p>
                    <w:p w14:paraId="01B7E873" w14:textId="77777777" w:rsidR="00E201A8" w:rsidRDefault="00E201A8" w:rsidP="00E201A8">
                      <w:pPr>
                        <w:jc w:val="center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 </w:t>
                      </w:r>
                    </w:p>
                    <w:p w14:paraId="075D30BD" w14:textId="77777777" w:rsidR="00E201A8" w:rsidRDefault="00E201A8" w:rsidP="00E201A8">
                      <w:pPr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 </w:t>
                      </w:r>
                    </w:p>
                    <w:p w14:paraId="1D23758B" w14:textId="762375A1" w:rsidR="00E201A8" w:rsidRDefault="00125A5E" w:rsidP="00E201A8">
                      <w:pPr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34A7C9" wp14:editId="170D5931">
                            <wp:extent cx="847725" cy="819150"/>
                            <wp:effectExtent l="0" t="0" r="0" b="0"/>
                            <wp:docPr id="9" name="Picture 9" descr="50th Day Of School Clipart - 50th Day Of School Clip Art , Free ...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50th Day Of School Clipart - 50th Day Of School Clip Art , Free ...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skerville Old Face" w:hAnsi="Baskerville Old Face"/>
          <w:noProof/>
        </w:rPr>
        <w:drawing>
          <wp:anchor distT="0" distB="0" distL="114300" distR="114300" simplePos="0" relativeHeight="251659264" behindDoc="0" locked="0" layoutInCell="1" allowOverlap="1" wp14:anchorId="49E44957" wp14:editId="6018CCF8">
            <wp:simplePos x="0" y="0"/>
            <wp:positionH relativeFrom="column">
              <wp:posOffset>-97790</wp:posOffset>
            </wp:positionH>
            <wp:positionV relativeFrom="paragraph">
              <wp:posOffset>-544830</wp:posOffset>
            </wp:positionV>
            <wp:extent cx="796925" cy="906780"/>
            <wp:effectExtent l="0" t="0" r="0" b="0"/>
            <wp:wrapNone/>
            <wp:docPr id="10" name="Picture 10" descr="clip_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ip_ lar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hAnsi="Baskerville Old Face"/>
          <w:noProof/>
        </w:rPr>
        <w:drawing>
          <wp:anchor distT="0" distB="0" distL="114300" distR="114300" simplePos="0" relativeHeight="251660288" behindDoc="0" locked="0" layoutInCell="1" allowOverlap="1" wp14:anchorId="0B8008F5" wp14:editId="2AD6AF1B">
            <wp:simplePos x="0" y="0"/>
            <wp:positionH relativeFrom="column">
              <wp:posOffset>5111115</wp:posOffset>
            </wp:positionH>
            <wp:positionV relativeFrom="paragraph">
              <wp:posOffset>-544830</wp:posOffset>
            </wp:positionV>
            <wp:extent cx="914400" cy="883920"/>
            <wp:effectExtent l="0" t="0" r="0" b="0"/>
            <wp:wrapNone/>
            <wp:docPr id="11" name="Picture 11" descr="50th Day Of School Clipart - 50th Day Of School Clip Art 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0th Day Of School Clipart - 50th Day Of School Clip Art , Fre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FF28D" w14:textId="77777777" w:rsidR="00E201A8" w:rsidRDefault="00E201A8" w:rsidP="00E201A8">
      <w:pPr>
        <w:jc w:val="center"/>
        <w:rPr>
          <w:rFonts w:ascii="Baskerville Old Face" w:hAnsi="Baskerville Old Face"/>
        </w:rPr>
      </w:pPr>
    </w:p>
    <w:p w14:paraId="3F0AE3F5" w14:textId="77777777" w:rsidR="00FC09E5" w:rsidRDefault="00FC09E5" w:rsidP="001D6147"/>
    <w:p w14:paraId="1FD80B24" w14:textId="53CFF87F" w:rsidR="005442CE" w:rsidRDefault="008019C8" w:rsidP="001D6147">
      <w:r>
        <w:pict w14:anchorId="6C7CFB8C">
          <v:rect id="_x0000_i1025" style="width:0;height:1.5pt" o:hralign="center" o:hrstd="t" o:hr="t" fillcolor="#a0a0a0" stroked="f"/>
        </w:pict>
      </w:r>
    </w:p>
    <w:p w14:paraId="1ED7A9DD" w14:textId="51F6C44F" w:rsidR="0045023D" w:rsidRPr="00793917" w:rsidRDefault="0045023D" w:rsidP="00793917">
      <w:pPr>
        <w:jc w:val="center"/>
        <w:rPr>
          <w:sz w:val="48"/>
          <w:szCs w:val="48"/>
        </w:rPr>
      </w:pPr>
      <w:r w:rsidRPr="00793917">
        <w:rPr>
          <w:sz w:val="48"/>
          <w:szCs w:val="48"/>
        </w:rPr>
        <w:t>Rapid Entry System</w:t>
      </w:r>
    </w:p>
    <w:p w14:paraId="40F0F1FC" w14:textId="19E820A8" w:rsidR="0045023D" w:rsidRPr="00793917" w:rsidRDefault="0045023D" w:rsidP="0045023D">
      <w:pPr>
        <w:jc w:val="center"/>
        <w:rPr>
          <w:sz w:val="48"/>
          <w:szCs w:val="48"/>
        </w:rPr>
      </w:pPr>
      <w:r w:rsidRPr="00793917">
        <w:rPr>
          <w:sz w:val="48"/>
          <w:szCs w:val="48"/>
        </w:rPr>
        <w:t>KNOX-BOX®</w:t>
      </w:r>
    </w:p>
    <w:p w14:paraId="2494AF28" w14:textId="77777777" w:rsidR="0045023D" w:rsidRDefault="0045023D" w:rsidP="0045023D"/>
    <w:p w14:paraId="59BABD4A" w14:textId="7C587023" w:rsidR="00D16F24" w:rsidRDefault="0045023D" w:rsidP="0045023D">
      <w:r>
        <w:t>The Falcon Fire Protection District requires a locking KNOX key box on all commercial buildings as defined by the Fire Code Official, or where immediate access is necessary for life-saving or firefighting purposes per the 20</w:t>
      </w:r>
      <w:r w:rsidR="00D16F24">
        <w:t>21</w:t>
      </w:r>
      <w:r>
        <w:t xml:space="preserve"> International Fire </w:t>
      </w:r>
      <w:r w:rsidR="00D16F24">
        <w:t>Code</w:t>
      </w:r>
      <w:r>
        <w:t>, Section 506.</w:t>
      </w:r>
      <w:r w:rsidR="00D16F24">
        <w:t>1</w:t>
      </w:r>
      <w:r w:rsidR="008019C8">
        <w:t>, 5.6.1.1 and 912.4.1.</w:t>
      </w:r>
    </w:p>
    <w:p w14:paraId="591FEC26" w14:textId="38B3488B" w:rsidR="00D16F24" w:rsidRDefault="00D16F24" w:rsidP="0045023D"/>
    <w:p w14:paraId="50F2D510" w14:textId="569D4D84" w:rsidR="00D16F24" w:rsidRPr="00D16F24" w:rsidRDefault="00D16F24" w:rsidP="00D16F24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 xml:space="preserve">506.1 </w:t>
      </w:r>
      <w:r w:rsidR="009E19D9" w:rsidRPr="009E19D9">
        <w:rPr>
          <w:rFonts w:eastAsia="Arial-BoldMT"/>
          <w:bCs/>
          <w:sz w:val="20"/>
          <w:szCs w:val="20"/>
        </w:rPr>
        <w:t>Where required.</w:t>
      </w:r>
      <w:r w:rsidR="009E19D9">
        <w:rPr>
          <w:rFonts w:ascii="Arial-BoldMT" w:eastAsia="Arial-BoldMT" w:cs="Arial-BoldMT"/>
          <w:b/>
          <w:bCs/>
          <w:color w:val="F900F9"/>
          <w:sz w:val="23"/>
          <w:szCs w:val="23"/>
        </w:rPr>
        <w:t xml:space="preserve"> </w:t>
      </w:r>
      <w:r w:rsidRPr="00D16F24">
        <w:rPr>
          <w:rFonts w:eastAsia="ArialMT"/>
          <w:sz w:val="20"/>
          <w:szCs w:val="20"/>
        </w:rPr>
        <w:t>Where access to or within a structure or an area is restricted because of</w:t>
      </w:r>
      <w:r>
        <w:rPr>
          <w:rFonts w:eastAsia="ArialMT"/>
          <w:sz w:val="20"/>
          <w:szCs w:val="20"/>
        </w:rPr>
        <w:t xml:space="preserve"> </w:t>
      </w:r>
      <w:r w:rsidRPr="00D16F24">
        <w:rPr>
          <w:rFonts w:eastAsia="ArialMT"/>
          <w:sz w:val="20"/>
          <w:szCs w:val="20"/>
        </w:rPr>
        <w:t>secured openings or where immediate access is necessary for lifesaving, or fire-fighting purposes,</w:t>
      </w:r>
      <w:r>
        <w:rPr>
          <w:rFonts w:eastAsia="ArialMT"/>
          <w:sz w:val="20"/>
          <w:szCs w:val="20"/>
        </w:rPr>
        <w:t xml:space="preserve"> </w:t>
      </w:r>
      <w:r w:rsidRPr="00D16F24">
        <w:rPr>
          <w:rFonts w:eastAsia="ArialMT"/>
          <w:sz w:val="20"/>
          <w:szCs w:val="20"/>
        </w:rPr>
        <w:t>or where monitored fire protection systems or elevators exist in the building, the fire code official is</w:t>
      </w:r>
      <w:r>
        <w:rPr>
          <w:rFonts w:eastAsia="ArialMT"/>
          <w:sz w:val="20"/>
          <w:szCs w:val="20"/>
        </w:rPr>
        <w:t xml:space="preserve"> </w:t>
      </w:r>
      <w:r w:rsidRPr="00D16F24">
        <w:rPr>
          <w:rFonts w:eastAsia="ArialMT"/>
          <w:sz w:val="20"/>
          <w:szCs w:val="20"/>
        </w:rPr>
        <w:t>authorized to require a key box to be installed in an approved location. The key box shall be of an</w:t>
      </w:r>
      <w:r>
        <w:rPr>
          <w:rFonts w:eastAsia="ArialMT"/>
          <w:sz w:val="20"/>
          <w:szCs w:val="20"/>
        </w:rPr>
        <w:t xml:space="preserve"> </w:t>
      </w:r>
      <w:r w:rsidRPr="00D16F24">
        <w:rPr>
          <w:rFonts w:eastAsia="ArialMT"/>
          <w:sz w:val="20"/>
          <w:szCs w:val="20"/>
        </w:rPr>
        <w:t>approved type listed in accordance with UL 1037 and shall contain keys to gain necessary access</w:t>
      </w:r>
      <w:r>
        <w:rPr>
          <w:rFonts w:eastAsia="ArialMT"/>
          <w:sz w:val="20"/>
          <w:szCs w:val="20"/>
        </w:rPr>
        <w:t xml:space="preserve"> </w:t>
      </w:r>
      <w:r w:rsidRPr="00D16F24">
        <w:rPr>
          <w:rFonts w:eastAsia="ArialMT"/>
          <w:sz w:val="20"/>
          <w:szCs w:val="20"/>
        </w:rPr>
        <w:t>as required by the fire code official.</w:t>
      </w:r>
    </w:p>
    <w:p w14:paraId="37B61A64" w14:textId="353BFF37" w:rsidR="0045023D" w:rsidRPr="0045023D" w:rsidRDefault="008019C8" w:rsidP="0045023D">
      <w:r>
        <w:pict w14:anchorId="52559AB2">
          <v:rect id="_x0000_i1026" style="width:0;height:1.5pt" o:hralign="center" o:hrstd="t" o:hr="t" fillcolor="#a0a0a0" stroked="f"/>
        </w:pict>
      </w:r>
    </w:p>
    <w:p w14:paraId="0D2E771B" w14:textId="77777777" w:rsidR="0045023D" w:rsidRDefault="0045023D" w:rsidP="0045023D"/>
    <w:p w14:paraId="326A77A5" w14:textId="4016AEE6" w:rsidR="0045023D" w:rsidRDefault="0045023D" w:rsidP="0045023D">
      <w:r w:rsidRPr="00A00A5E">
        <w:rPr>
          <w:b/>
        </w:rPr>
        <w:t>LOCATION:</w:t>
      </w:r>
      <w:r>
        <w:t xml:space="preserve"> The KNOX key box shall be located at the “main front entrance” of the building </w:t>
      </w:r>
      <w:r w:rsidR="00A00A5E">
        <w:t>at five</w:t>
      </w:r>
      <w:r>
        <w:t xml:space="preserve"> (</w:t>
      </w:r>
      <w:r w:rsidR="00A00A5E">
        <w:t>5</w:t>
      </w:r>
      <w:r>
        <w:t>) feet ab</w:t>
      </w:r>
      <w:r w:rsidR="00A00A5E">
        <w:t>ove</w:t>
      </w:r>
      <w:r>
        <w:t xml:space="preserve"> the finished grade. </w:t>
      </w:r>
    </w:p>
    <w:p w14:paraId="41409568" w14:textId="65B0872D" w:rsidR="00793917" w:rsidRDefault="00793917" w:rsidP="0045023D"/>
    <w:p w14:paraId="403EC5BB" w14:textId="206DAE8C" w:rsidR="00793917" w:rsidRDefault="00125A5E" w:rsidP="0045023D">
      <w:r>
        <w:rPr>
          <w:noProof/>
        </w:rPr>
        <w:drawing>
          <wp:anchor distT="0" distB="0" distL="114300" distR="114300" simplePos="0" relativeHeight="251663360" behindDoc="0" locked="0" layoutInCell="1" allowOverlap="1" wp14:anchorId="3E6AA1C8" wp14:editId="0F613CFF">
            <wp:simplePos x="0" y="0"/>
            <wp:positionH relativeFrom="column">
              <wp:posOffset>1895475</wp:posOffset>
            </wp:positionH>
            <wp:positionV relativeFrom="paragraph">
              <wp:posOffset>175260</wp:posOffset>
            </wp:positionV>
            <wp:extent cx="2217420" cy="1857375"/>
            <wp:effectExtent l="0" t="0" r="0" b="0"/>
            <wp:wrapSquare wrapText="right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24A3C" w14:textId="626401AD" w:rsidR="0045023D" w:rsidRDefault="00793917" w:rsidP="00793917">
      <w:r>
        <w:br w:type="textWrapping" w:clear="all"/>
      </w:r>
    </w:p>
    <w:p w14:paraId="4B19CD28" w14:textId="77777777" w:rsidR="00793917" w:rsidRDefault="00793917" w:rsidP="00793917"/>
    <w:p w14:paraId="196C03D0" w14:textId="43345E7E" w:rsidR="0045023D" w:rsidRDefault="0045023D" w:rsidP="00793917">
      <w:bookmarkStart w:id="0" w:name="_Hlk189130372"/>
      <w:r>
        <w:t xml:space="preserve">Multi-Tenant Buildings – A KNOX box may be installed at each tenant entrance or a single box may be installed at the </w:t>
      </w:r>
      <w:r w:rsidR="00A00A5E">
        <w:t>far-right</w:t>
      </w:r>
      <w:r>
        <w:t xml:space="preserve"> side of the building as you are looking at the store fronts, </w:t>
      </w:r>
      <w:r w:rsidR="00A00A5E">
        <w:t xml:space="preserve">mount the box at five (5) </w:t>
      </w:r>
      <w:r>
        <w:t>feet abo</w:t>
      </w:r>
      <w:r w:rsidR="00A00A5E">
        <w:t>ve</w:t>
      </w:r>
      <w:r>
        <w:t xml:space="preserve"> the finished grade. If this method is used, please ensure you order a key box large enough to accommodate two sets of keys from each tenant space. </w:t>
      </w:r>
    </w:p>
    <w:bookmarkEnd w:id="0"/>
    <w:p w14:paraId="71FD62AF" w14:textId="77777777" w:rsidR="0045023D" w:rsidRDefault="0045023D" w:rsidP="0045023D"/>
    <w:p w14:paraId="79C1EFE6" w14:textId="77777777" w:rsidR="0045023D" w:rsidRDefault="0045023D" w:rsidP="0045023D">
      <w:r w:rsidRPr="00A00A5E">
        <w:rPr>
          <w:b/>
        </w:rPr>
        <w:t>DECALS:</w:t>
      </w:r>
      <w:r>
        <w:t xml:space="preserve"> The KNOX decal shall be installed at the main front entrance or as required by the Fire Code Official. </w:t>
      </w:r>
    </w:p>
    <w:p w14:paraId="1AEA12EB" w14:textId="77777777" w:rsidR="0045023D" w:rsidRDefault="0045023D" w:rsidP="0045023D"/>
    <w:p w14:paraId="63577056" w14:textId="77777777" w:rsidR="009E19D9" w:rsidRDefault="0045023D" w:rsidP="0045023D">
      <w:r w:rsidRPr="00A00A5E">
        <w:rPr>
          <w:b/>
        </w:rPr>
        <w:lastRenderedPageBreak/>
        <w:t>BUILDING KEYS:</w:t>
      </w:r>
      <w:r>
        <w:t xml:space="preserve"> The box shall contain at least two (2) sets of labeled keys, including but not limited to: keys for access into and through the premises, keys to any secured fire protection system, and elevator keys. </w:t>
      </w:r>
    </w:p>
    <w:p w14:paraId="1F084305" w14:textId="77777777" w:rsidR="008019C8" w:rsidRDefault="008019C8" w:rsidP="0045023D">
      <w:pPr>
        <w:rPr>
          <w:b/>
        </w:rPr>
      </w:pPr>
    </w:p>
    <w:p w14:paraId="2A573459" w14:textId="67D2DA29" w:rsidR="0045023D" w:rsidRDefault="0045023D" w:rsidP="0045023D">
      <w:bookmarkStart w:id="1" w:name="_GoBack"/>
      <w:bookmarkEnd w:id="1"/>
      <w:r w:rsidRPr="00A00A5E">
        <w:rPr>
          <w:b/>
        </w:rPr>
        <w:t>MAINTENANCE:</w:t>
      </w:r>
      <w:r>
        <w:t xml:space="preserve"> The Operator of the building shall immediately notify the Fire Code Official and provide new keys when a lock is changed or rekeyed.</w:t>
      </w:r>
    </w:p>
    <w:p w14:paraId="7226D7C2" w14:textId="596B6CAB" w:rsidR="00E90755" w:rsidRDefault="008019C8" w:rsidP="0045023D">
      <w:pPr>
        <w:rPr>
          <w:b/>
        </w:rPr>
      </w:pPr>
      <w:r>
        <w:pict w14:anchorId="545EF1B4">
          <v:rect id="_x0000_i1027" style="width:0;height:1.5pt" o:hralign="center" o:hrstd="t" o:hr="t" fillcolor="#a0a0a0" stroked="f"/>
        </w:pict>
      </w:r>
    </w:p>
    <w:p w14:paraId="45DC540C" w14:textId="37A514BD" w:rsidR="00E90755" w:rsidRDefault="00E90755" w:rsidP="0045023D">
      <w:pPr>
        <w:rPr>
          <w:b/>
        </w:rPr>
      </w:pPr>
    </w:p>
    <w:p w14:paraId="531970F3" w14:textId="08EAE2AE" w:rsidR="005A4F95" w:rsidRDefault="00125A5E" w:rsidP="005A4F95">
      <w:pPr>
        <w:jc w:val="center"/>
      </w:pPr>
      <w:r>
        <w:rPr>
          <w:noProof/>
        </w:rPr>
        <w:drawing>
          <wp:inline distT="0" distB="0" distL="0" distR="0" wp14:anchorId="22DA4F52" wp14:editId="387C057A">
            <wp:extent cx="1257300" cy="10477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3E7B6" w14:textId="68FD0E07" w:rsidR="005A4F95" w:rsidRDefault="005A4F95" w:rsidP="005A4F95">
      <w:pPr>
        <w:jc w:val="center"/>
        <w:rPr>
          <w:b/>
        </w:rPr>
      </w:pPr>
    </w:p>
    <w:p w14:paraId="4F10055F" w14:textId="47097AEB" w:rsidR="005A4F95" w:rsidRDefault="005A4F95" w:rsidP="005A4F95">
      <w:r>
        <w:rPr>
          <w:b/>
        </w:rPr>
        <w:t>eLOCK RETROFIT CORES:</w:t>
      </w:r>
      <w:r>
        <w:t xml:space="preserve"> Approved KNOX retrofit cores. Powered by the Knox eKey®, the Knox eLock Core is constructed of brass to withstand physical stress and the harshest weather conditions. The patented non-contact design protects the core from dust and dirt and can be retrofitted into most existing Knox mechanical products.</w:t>
      </w:r>
    </w:p>
    <w:p w14:paraId="51BD65FB" w14:textId="69FE3B80" w:rsidR="005A4F95" w:rsidRDefault="005A4F95" w:rsidP="005A4F95"/>
    <w:p w14:paraId="667316BB" w14:textId="683BE1E4" w:rsidR="00D16F24" w:rsidRPr="009E19D9" w:rsidRDefault="005A4F95" w:rsidP="005A4F95">
      <w:pPr>
        <w:rPr>
          <w:sz w:val="20"/>
          <w:szCs w:val="20"/>
        </w:rPr>
      </w:pPr>
      <w:r w:rsidRPr="009E19D9">
        <w:rPr>
          <w:sz w:val="20"/>
          <w:szCs w:val="20"/>
        </w:rPr>
        <w:t>BENEFITS</w:t>
      </w:r>
      <w:r w:rsidR="00D16F24" w:rsidRPr="009E19D9">
        <w:rPr>
          <w:sz w:val="20"/>
          <w:szCs w:val="20"/>
        </w:rPr>
        <w:t>:</w:t>
      </w:r>
      <w:r w:rsidRPr="009E19D9">
        <w:rPr>
          <w:sz w:val="20"/>
          <w:szCs w:val="20"/>
        </w:rPr>
        <w:t xml:space="preserve"> </w:t>
      </w:r>
    </w:p>
    <w:p w14:paraId="025DBACD" w14:textId="62AB734C" w:rsidR="00D16F24" w:rsidRPr="009E19D9" w:rsidRDefault="005A4F95" w:rsidP="005A4F95">
      <w:pPr>
        <w:rPr>
          <w:sz w:val="20"/>
          <w:szCs w:val="20"/>
        </w:rPr>
      </w:pPr>
      <w:r w:rsidRPr="009E19D9">
        <w:rPr>
          <w:sz w:val="20"/>
          <w:szCs w:val="20"/>
        </w:rPr>
        <w:t xml:space="preserve">• Maintenance-free protection against dust and dirt. </w:t>
      </w:r>
    </w:p>
    <w:p w14:paraId="40ED1780" w14:textId="77777777" w:rsidR="00D16F24" w:rsidRPr="009E19D9" w:rsidRDefault="005A4F95" w:rsidP="005A4F95">
      <w:pPr>
        <w:rPr>
          <w:sz w:val="20"/>
          <w:szCs w:val="20"/>
        </w:rPr>
      </w:pPr>
      <w:r w:rsidRPr="009E19D9">
        <w:rPr>
          <w:sz w:val="20"/>
          <w:szCs w:val="20"/>
        </w:rPr>
        <w:t xml:space="preserve">• Lock code can be easily updated to accommodate jurisdiction boundary changes </w:t>
      </w:r>
    </w:p>
    <w:p w14:paraId="593D9E3A" w14:textId="2C7D7374" w:rsidR="005A4F95" w:rsidRPr="009E19D9" w:rsidRDefault="005A4F95" w:rsidP="005A4F95">
      <w:pPr>
        <w:rPr>
          <w:sz w:val="20"/>
          <w:szCs w:val="20"/>
        </w:rPr>
      </w:pPr>
      <w:r w:rsidRPr="009E19D9">
        <w:rPr>
          <w:sz w:val="20"/>
          <w:szCs w:val="20"/>
        </w:rPr>
        <w:t>• Can be retrofitted into most existing Knox mechanical products</w:t>
      </w:r>
    </w:p>
    <w:p w14:paraId="63C2E54E" w14:textId="46E3DC12" w:rsidR="009E19D9" w:rsidRPr="009E19D9" w:rsidRDefault="009E19D9" w:rsidP="005A4F95">
      <w:pPr>
        <w:rPr>
          <w:sz w:val="20"/>
          <w:szCs w:val="20"/>
        </w:rPr>
      </w:pPr>
    </w:p>
    <w:p w14:paraId="19644DDD" w14:textId="77777777" w:rsidR="009E19D9" w:rsidRPr="009E19D9" w:rsidRDefault="009E19D9" w:rsidP="005A4F95">
      <w:pPr>
        <w:rPr>
          <w:sz w:val="20"/>
          <w:szCs w:val="20"/>
        </w:rPr>
      </w:pPr>
      <w:r w:rsidRPr="009E19D9">
        <w:rPr>
          <w:sz w:val="20"/>
          <w:szCs w:val="20"/>
        </w:rPr>
        <w:t xml:space="preserve">FEATURES: </w:t>
      </w:r>
    </w:p>
    <w:p w14:paraId="3BC6DA77" w14:textId="77777777" w:rsidR="009E19D9" w:rsidRPr="009E19D9" w:rsidRDefault="009E19D9" w:rsidP="005A4F95">
      <w:pPr>
        <w:rPr>
          <w:sz w:val="20"/>
          <w:szCs w:val="20"/>
        </w:rPr>
      </w:pPr>
      <w:r w:rsidRPr="009E19D9">
        <w:rPr>
          <w:sz w:val="20"/>
          <w:szCs w:val="20"/>
        </w:rPr>
        <w:t xml:space="preserve">• Eliminates physical rekey for lock code change </w:t>
      </w:r>
    </w:p>
    <w:p w14:paraId="63E6C7E1" w14:textId="77777777" w:rsidR="009E19D9" w:rsidRPr="009E19D9" w:rsidRDefault="009E19D9" w:rsidP="005A4F95">
      <w:pPr>
        <w:rPr>
          <w:sz w:val="20"/>
          <w:szCs w:val="20"/>
        </w:rPr>
      </w:pPr>
      <w:r w:rsidRPr="009E19D9">
        <w:rPr>
          <w:sz w:val="20"/>
          <w:szCs w:val="20"/>
        </w:rPr>
        <w:t xml:space="preserve">• Requires no wiring or batteries for power </w:t>
      </w:r>
    </w:p>
    <w:p w14:paraId="2F4F0453" w14:textId="77777777" w:rsidR="009E19D9" w:rsidRPr="009E19D9" w:rsidRDefault="009E19D9" w:rsidP="005A4F95">
      <w:pPr>
        <w:rPr>
          <w:sz w:val="20"/>
          <w:szCs w:val="20"/>
        </w:rPr>
      </w:pPr>
      <w:r w:rsidRPr="009E19D9">
        <w:rPr>
          <w:sz w:val="20"/>
          <w:szCs w:val="20"/>
        </w:rPr>
        <w:t xml:space="preserve">• Stores up to 140 events • Holds 1 lock code • Power provided by the Knox eKey </w:t>
      </w:r>
    </w:p>
    <w:p w14:paraId="2BAC65A5" w14:textId="77777777" w:rsidR="009E19D9" w:rsidRPr="009E19D9" w:rsidRDefault="009E19D9" w:rsidP="005A4F95">
      <w:pPr>
        <w:rPr>
          <w:sz w:val="20"/>
          <w:szCs w:val="20"/>
        </w:rPr>
      </w:pPr>
      <w:r w:rsidRPr="009E19D9">
        <w:rPr>
          <w:sz w:val="20"/>
          <w:szCs w:val="20"/>
        </w:rPr>
        <w:t xml:space="preserve">• Stores firmware </w:t>
      </w:r>
    </w:p>
    <w:p w14:paraId="752B39DF" w14:textId="77777777" w:rsidR="009E19D9" w:rsidRPr="009E19D9" w:rsidRDefault="009E19D9" w:rsidP="005A4F95">
      <w:pPr>
        <w:rPr>
          <w:sz w:val="20"/>
          <w:szCs w:val="20"/>
        </w:rPr>
      </w:pPr>
      <w:r w:rsidRPr="009E19D9">
        <w:rPr>
          <w:sz w:val="20"/>
          <w:szCs w:val="20"/>
        </w:rPr>
        <w:t xml:space="preserve">• Provides access information by date and time </w:t>
      </w:r>
    </w:p>
    <w:p w14:paraId="4D181851" w14:textId="77777777" w:rsidR="009E19D9" w:rsidRPr="009E19D9" w:rsidRDefault="009E19D9" w:rsidP="005A4F95">
      <w:pPr>
        <w:rPr>
          <w:sz w:val="20"/>
          <w:szCs w:val="20"/>
        </w:rPr>
      </w:pPr>
      <w:r w:rsidRPr="009E19D9">
        <w:rPr>
          <w:sz w:val="20"/>
          <w:szCs w:val="20"/>
        </w:rPr>
        <w:t xml:space="preserve">• Patented non-contact design </w:t>
      </w:r>
    </w:p>
    <w:p w14:paraId="636CD716" w14:textId="77777777" w:rsidR="009E19D9" w:rsidRPr="009E19D9" w:rsidRDefault="009E19D9" w:rsidP="005A4F95">
      <w:pPr>
        <w:rPr>
          <w:sz w:val="20"/>
          <w:szCs w:val="20"/>
        </w:rPr>
      </w:pPr>
      <w:r w:rsidRPr="009E19D9">
        <w:rPr>
          <w:sz w:val="20"/>
          <w:szCs w:val="20"/>
        </w:rPr>
        <w:t xml:space="preserve">• Built Knox-Rugged, constructed of brass </w:t>
      </w:r>
    </w:p>
    <w:p w14:paraId="2E7E663F" w14:textId="3069BC62" w:rsidR="009E19D9" w:rsidRPr="009E19D9" w:rsidRDefault="009E19D9" w:rsidP="005A4F95">
      <w:pPr>
        <w:rPr>
          <w:sz w:val="20"/>
          <w:szCs w:val="20"/>
        </w:rPr>
      </w:pPr>
      <w:r w:rsidRPr="009E19D9">
        <w:rPr>
          <w:sz w:val="20"/>
          <w:szCs w:val="20"/>
        </w:rPr>
        <w:t>• Operating temperature: -40° to +60° C • Storage temperature: -40° to +80° C</w:t>
      </w:r>
    </w:p>
    <w:p w14:paraId="656B9B52" w14:textId="6C327B9E" w:rsidR="00D16F24" w:rsidRDefault="00D16F24" w:rsidP="005A4F95"/>
    <w:p w14:paraId="67BD4CA4" w14:textId="36BDA5D2" w:rsidR="00D16F24" w:rsidRDefault="008019C8" w:rsidP="005A4F95">
      <w:r>
        <w:pict w14:anchorId="76347332">
          <v:rect id="_x0000_i1028" style="width:0;height:1.5pt" o:hralign="center" o:hrstd="t" o:hr="t" fillcolor="#a0a0a0" stroked="f"/>
        </w:pict>
      </w:r>
    </w:p>
    <w:p w14:paraId="248F3FC2" w14:textId="77777777" w:rsidR="00D16F24" w:rsidRPr="005A4F95" w:rsidRDefault="00D16F24" w:rsidP="005A4F95"/>
    <w:p w14:paraId="66A9C5E4" w14:textId="59B1B761" w:rsidR="00793917" w:rsidRDefault="00125A5E" w:rsidP="00793917">
      <w:pPr>
        <w:jc w:val="center"/>
        <w:rPr>
          <w:b/>
        </w:rPr>
      </w:pPr>
      <w:r>
        <w:rPr>
          <w:noProof/>
        </w:rPr>
        <w:drawing>
          <wp:inline distT="0" distB="0" distL="0" distR="0" wp14:anchorId="7FA194B5" wp14:editId="3DD97030">
            <wp:extent cx="619125" cy="12954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7D147" w14:textId="77777777" w:rsidR="00793917" w:rsidRDefault="00793917" w:rsidP="0045023D">
      <w:pPr>
        <w:rPr>
          <w:b/>
        </w:rPr>
      </w:pPr>
    </w:p>
    <w:p w14:paraId="0F454DA7" w14:textId="77777777" w:rsidR="009E19D9" w:rsidRDefault="0045023D" w:rsidP="0045023D">
      <w:r w:rsidRPr="00A00A5E">
        <w:rPr>
          <w:b/>
        </w:rPr>
        <w:t>GATE/BARRIER LOCKS:</w:t>
      </w:r>
      <w:r>
        <w:t xml:space="preserve"> Approved KNOX </w:t>
      </w:r>
      <w:r w:rsidR="005A4F95">
        <w:t xml:space="preserve">padlocks </w:t>
      </w:r>
      <w:r>
        <w:t>shall be installed in gates or similar barriers when required by the Fire Code Official per the 20</w:t>
      </w:r>
      <w:r w:rsidR="009E19D9">
        <w:t>21</w:t>
      </w:r>
      <w:r>
        <w:t xml:space="preserve"> International Fire Code, Section 506.1.</w:t>
      </w:r>
      <w:r w:rsidR="009E19D9">
        <w:t>1.</w:t>
      </w:r>
    </w:p>
    <w:p w14:paraId="4459BE5C" w14:textId="77777777" w:rsidR="009E19D9" w:rsidRDefault="009E19D9" w:rsidP="009E19D9">
      <w:pPr>
        <w:autoSpaceDE w:val="0"/>
        <w:autoSpaceDN w:val="0"/>
        <w:adjustRightInd w:val="0"/>
        <w:rPr>
          <w:rFonts w:eastAsia="Arial-BoldMT"/>
          <w:b/>
          <w:bCs/>
          <w:color w:val="404040"/>
          <w:sz w:val="20"/>
          <w:szCs w:val="20"/>
        </w:rPr>
      </w:pPr>
    </w:p>
    <w:p w14:paraId="3BE06BD2" w14:textId="66898254" w:rsidR="009E19D9" w:rsidRPr="009E19D9" w:rsidRDefault="009E19D9" w:rsidP="009E19D9">
      <w:pPr>
        <w:autoSpaceDE w:val="0"/>
        <w:autoSpaceDN w:val="0"/>
        <w:adjustRightInd w:val="0"/>
        <w:rPr>
          <w:rFonts w:eastAsia="ArialMT"/>
          <w:color w:val="404040"/>
          <w:sz w:val="20"/>
          <w:szCs w:val="20"/>
        </w:rPr>
      </w:pPr>
      <w:r w:rsidRPr="008019C8">
        <w:rPr>
          <w:rFonts w:eastAsia="Arial-BoldMT"/>
          <w:bCs/>
          <w:color w:val="404040"/>
          <w:sz w:val="20"/>
          <w:szCs w:val="20"/>
        </w:rPr>
        <w:lastRenderedPageBreak/>
        <w:t>506.1.1 Locks.</w:t>
      </w:r>
      <w:r w:rsidRPr="009E19D9">
        <w:rPr>
          <w:rFonts w:eastAsia="Arial-BoldMT"/>
          <w:b/>
          <w:bCs/>
          <w:color w:val="404040"/>
          <w:sz w:val="20"/>
          <w:szCs w:val="20"/>
        </w:rPr>
        <w:t xml:space="preserve"> </w:t>
      </w:r>
      <w:r w:rsidRPr="009E19D9">
        <w:rPr>
          <w:rFonts w:eastAsia="ArialMT"/>
          <w:color w:val="404040"/>
          <w:sz w:val="20"/>
          <w:szCs w:val="20"/>
        </w:rPr>
        <w:t xml:space="preserve">An </w:t>
      </w:r>
      <w:r w:rsidRPr="008019C8">
        <w:rPr>
          <w:rFonts w:eastAsia="Arial-BoldMT"/>
          <w:iCs/>
          <w:color w:val="404040"/>
          <w:sz w:val="20"/>
          <w:szCs w:val="20"/>
        </w:rPr>
        <w:t>approved</w:t>
      </w:r>
      <w:r w:rsidRPr="009E19D9">
        <w:rPr>
          <w:rFonts w:eastAsia="Arial-BoldMT"/>
          <w:i/>
          <w:iCs/>
          <w:color w:val="404040"/>
          <w:sz w:val="20"/>
          <w:szCs w:val="20"/>
        </w:rPr>
        <w:t xml:space="preserve"> </w:t>
      </w:r>
      <w:r w:rsidRPr="009E19D9">
        <w:rPr>
          <w:rFonts w:eastAsia="ArialMT"/>
          <w:color w:val="404040"/>
          <w:sz w:val="20"/>
          <w:szCs w:val="20"/>
        </w:rPr>
        <w:t>lock shall be installed on gates or similar barriers where required</w:t>
      </w:r>
    </w:p>
    <w:p w14:paraId="2D43517E" w14:textId="78D970AB" w:rsidR="009E19D9" w:rsidRPr="009E19D9" w:rsidRDefault="009E19D9" w:rsidP="009E19D9">
      <w:pPr>
        <w:rPr>
          <w:sz w:val="20"/>
          <w:szCs w:val="20"/>
        </w:rPr>
      </w:pPr>
      <w:r w:rsidRPr="009E19D9">
        <w:rPr>
          <w:rFonts w:eastAsia="ArialMT"/>
          <w:color w:val="404040"/>
          <w:sz w:val="20"/>
          <w:szCs w:val="20"/>
        </w:rPr>
        <w:t xml:space="preserve">by the </w:t>
      </w:r>
      <w:r w:rsidRPr="009E19D9">
        <w:rPr>
          <w:rFonts w:eastAsia="Arial-BoldMT"/>
          <w:iCs/>
          <w:color w:val="404040"/>
          <w:sz w:val="20"/>
          <w:szCs w:val="20"/>
        </w:rPr>
        <w:t>fire code official.</w:t>
      </w:r>
    </w:p>
    <w:p w14:paraId="04F8D272" w14:textId="70C0BDEE" w:rsidR="0045023D" w:rsidRPr="00E90755" w:rsidRDefault="008019C8" w:rsidP="0045023D">
      <w:r>
        <w:pict w14:anchorId="779AF7A5">
          <v:rect id="_x0000_i1029" style="width:0;height:1.5pt" o:hralign="center" o:hrstd="t" o:hr="t" fillcolor="#a0a0a0" stroked="f"/>
        </w:pict>
      </w:r>
    </w:p>
    <w:p w14:paraId="0DE64ED7" w14:textId="77777777" w:rsidR="00E90755" w:rsidRDefault="00E90755" w:rsidP="0045023D">
      <w:pPr>
        <w:rPr>
          <w:b/>
        </w:rPr>
      </w:pPr>
    </w:p>
    <w:p w14:paraId="2BB6716B" w14:textId="064E5285" w:rsidR="00793917" w:rsidRDefault="00125A5E" w:rsidP="00793917">
      <w:pPr>
        <w:jc w:val="center"/>
        <w:rPr>
          <w:b/>
        </w:rPr>
      </w:pPr>
      <w:r>
        <w:rPr>
          <w:noProof/>
        </w:rPr>
        <w:drawing>
          <wp:inline distT="0" distB="0" distL="0" distR="0" wp14:anchorId="39DD1AA3" wp14:editId="640DF3C9">
            <wp:extent cx="723900" cy="15716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84C29" w14:textId="77777777" w:rsidR="00793917" w:rsidRDefault="00793917" w:rsidP="0045023D">
      <w:pPr>
        <w:rPr>
          <w:b/>
        </w:rPr>
      </w:pPr>
    </w:p>
    <w:p w14:paraId="2CC9233B" w14:textId="64E1BAC7" w:rsidR="009E19D9" w:rsidRDefault="0045023D" w:rsidP="0045023D">
      <w:r w:rsidRPr="00A00A5E">
        <w:rPr>
          <w:b/>
        </w:rPr>
        <w:t>LOCKING FIRE DEPARTMENT CONNECTION (FDC) CAPS:</w:t>
      </w:r>
      <w:r>
        <w:t xml:space="preserve"> Fire Department Connections shall be secured with KNOX FDC Caps in accordance with the 20</w:t>
      </w:r>
      <w:r w:rsidR="009E19D9">
        <w:t>21</w:t>
      </w:r>
      <w:r>
        <w:t xml:space="preserve"> International Fire Code, Section 912.</w:t>
      </w:r>
      <w:r w:rsidR="00752842">
        <w:t>4.1.</w:t>
      </w:r>
    </w:p>
    <w:p w14:paraId="6D8113F0" w14:textId="4C6AB140" w:rsidR="009E19D9" w:rsidRDefault="009E19D9" w:rsidP="0045023D"/>
    <w:p w14:paraId="341EB673" w14:textId="79918DE0" w:rsidR="00F50101" w:rsidRPr="00752842" w:rsidRDefault="00752842" w:rsidP="00752842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8019C8">
        <w:rPr>
          <w:rFonts w:eastAsia="Arial-BoldMT"/>
          <w:bCs/>
          <w:sz w:val="20"/>
          <w:szCs w:val="20"/>
        </w:rPr>
        <w:t>912.4.1 Locking fire department connection caps.</w:t>
      </w:r>
      <w:r w:rsidRPr="00752842">
        <w:rPr>
          <w:rFonts w:eastAsia="Arial-BoldMT"/>
          <w:b/>
          <w:bCs/>
          <w:sz w:val="20"/>
          <w:szCs w:val="20"/>
        </w:rPr>
        <w:t xml:space="preserve"> </w:t>
      </w:r>
      <w:r w:rsidRPr="00752842">
        <w:rPr>
          <w:rFonts w:eastAsia="ArialMT"/>
          <w:sz w:val="20"/>
          <w:szCs w:val="20"/>
        </w:rPr>
        <w:t xml:space="preserve">The </w:t>
      </w:r>
      <w:r w:rsidRPr="00752842">
        <w:rPr>
          <w:rFonts w:eastAsia="Arial-BoldMT"/>
          <w:iCs/>
          <w:sz w:val="20"/>
          <w:szCs w:val="20"/>
        </w:rPr>
        <w:t>fire code official</w:t>
      </w:r>
      <w:r w:rsidRPr="00752842">
        <w:rPr>
          <w:rFonts w:eastAsia="Arial-BoldMT"/>
          <w:i/>
          <w:iCs/>
          <w:sz w:val="20"/>
          <w:szCs w:val="20"/>
        </w:rPr>
        <w:t xml:space="preserve"> </w:t>
      </w:r>
      <w:r w:rsidRPr="00752842">
        <w:rPr>
          <w:rFonts w:eastAsia="ArialMT"/>
          <w:sz w:val="20"/>
          <w:szCs w:val="20"/>
        </w:rPr>
        <w:t>is authorized to</w:t>
      </w:r>
      <w:r>
        <w:rPr>
          <w:rFonts w:eastAsia="ArialMT"/>
          <w:sz w:val="20"/>
          <w:szCs w:val="20"/>
        </w:rPr>
        <w:t xml:space="preserve"> </w:t>
      </w:r>
      <w:r w:rsidRPr="00752842">
        <w:rPr>
          <w:rFonts w:eastAsia="ArialMT"/>
          <w:sz w:val="20"/>
          <w:szCs w:val="20"/>
        </w:rPr>
        <w:t xml:space="preserve">require locking caps on fire department connections for water-based </w:t>
      </w:r>
      <w:r w:rsidRPr="00752842">
        <w:rPr>
          <w:rFonts w:eastAsia="Arial-BoldMT"/>
          <w:iCs/>
          <w:sz w:val="20"/>
          <w:szCs w:val="20"/>
        </w:rPr>
        <w:t>fire protection systems</w:t>
      </w:r>
      <w:r>
        <w:rPr>
          <w:rFonts w:eastAsia="ArialMT"/>
          <w:sz w:val="20"/>
          <w:szCs w:val="20"/>
        </w:rPr>
        <w:t xml:space="preserve"> </w:t>
      </w:r>
      <w:r w:rsidRPr="00752842">
        <w:rPr>
          <w:rFonts w:eastAsia="ArialMT"/>
          <w:sz w:val="20"/>
          <w:szCs w:val="20"/>
        </w:rPr>
        <w:t>where the responding fire department carries appropriate key wrenches for removal.</w:t>
      </w:r>
    </w:p>
    <w:p w14:paraId="329B17E7" w14:textId="77777777" w:rsidR="009E19D9" w:rsidRDefault="009E19D9" w:rsidP="0045023D"/>
    <w:p w14:paraId="37295872" w14:textId="3B595790" w:rsidR="00D16F24" w:rsidRDefault="008019C8" w:rsidP="0045023D">
      <w:r>
        <w:pict w14:anchorId="2A29B506">
          <v:rect id="_x0000_i1030" style="width:0;height:1.5pt" o:hralign="center" o:hrstd="t" o:hr="t" fillcolor="#a0a0a0" stroked="f"/>
        </w:pict>
      </w:r>
    </w:p>
    <w:p w14:paraId="0EDFCD86" w14:textId="2DDA9F98" w:rsidR="0045023D" w:rsidRPr="00D16F24" w:rsidRDefault="0045023D" w:rsidP="0045023D">
      <w:r w:rsidRPr="00A00A5E">
        <w:rPr>
          <w:b/>
        </w:rPr>
        <w:t>COMMONLY USED PRODUCTS:</w:t>
      </w:r>
    </w:p>
    <w:p w14:paraId="2B2D0510" w14:textId="5AE61689" w:rsidR="00A00A5E" w:rsidRDefault="00A00A5E" w:rsidP="0045023D">
      <w:pPr>
        <w:rPr>
          <w:b/>
        </w:rPr>
      </w:pPr>
    </w:p>
    <w:tbl>
      <w:tblPr>
        <w:tblW w:w="8280" w:type="dxa"/>
        <w:tblInd w:w="108" w:type="dxa"/>
        <w:tblLook w:val="04A0" w:firstRow="1" w:lastRow="0" w:firstColumn="1" w:lastColumn="0" w:noHBand="0" w:noVBand="1"/>
      </w:tblPr>
      <w:tblGrid>
        <w:gridCol w:w="2660"/>
        <w:gridCol w:w="2460"/>
        <w:gridCol w:w="3160"/>
      </w:tblGrid>
      <w:tr w:rsidR="005A4F95" w14:paraId="4B615B19" w14:textId="77777777" w:rsidTr="005A4F95">
        <w:trPr>
          <w:trHeight w:val="315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2B45F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PRODUCT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E91F4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217A1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SPECIAL INFORMATION</w:t>
            </w:r>
          </w:p>
        </w:tc>
      </w:tr>
      <w:tr w:rsidR="005A4F95" w14:paraId="07064B6F" w14:textId="77777777" w:rsidTr="005A4F9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09F3A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Surface Mount Box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96968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KLS-3200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DA602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 Tamper Switch Required</w:t>
            </w:r>
          </w:p>
        </w:tc>
      </w:tr>
      <w:tr w:rsidR="005A4F95" w14:paraId="3131F293" w14:textId="77777777" w:rsidTr="005A4F9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8975A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Recessed Mount Box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309BF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KLS-3200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9CB1D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 Tamper Switch Required</w:t>
            </w:r>
          </w:p>
        </w:tc>
      </w:tr>
      <w:tr w:rsidR="005A4F95" w14:paraId="284573FB" w14:textId="77777777" w:rsidTr="005A4F9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3BF7A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Surface Mount Box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58F80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KLS-4400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EF5B7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 Tamper Switch Required</w:t>
            </w:r>
          </w:p>
        </w:tc>
      </w:tr>
      <w:tr w:rsidR="005A4F95" w14:paraId="15973EC5" w14:textId="77777777" w:rsidTr="005A4F9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F1976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Recessed Mount Box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07CF7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KLS-4400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6D2F0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 Tamper Switch Required</w:t>
            </w:r>
          </w:p>
        </w:tc>
      </w:tr>
      <w:tr w:rsidR="005A4F95" w14:paraId="72A27B6C" w14:textId="77777777" w:rsidTr="005A4F9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FCF86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Exterior Padlock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93E38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KLS-3781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4AB76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A4F95" w14:paraId="12AE4349" w14:textId="77777777" w:rsidTr="005A4F9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5C8DB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Locking FDC Cap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765AF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3110 or 3111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4A22C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5A4F95" w14:paraId="2DE66125" w14:textId="77777777" w:rsidTr="005A4F9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81512" w14:textId="73097216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eLOC</w:t>
            </w:r>
            <w:r w:rsidR="00F50101">
              <w:rPr>
                <w:b/>
                <w:bCs/>
                <w:color w:val="000000"/>
                <w:sz w:val="22"/>
                <w:szCs w:val="22"/>
              </w:rPr>
              <w:t>K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Retrofit Cores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D2D4E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KLS-8800L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FD40B" w14:textId="77777777" w:rsidR="005A4F95" w:rsidRDefault="005A4F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</w:tbl>
    <w:p w14:paraId="47FB7F01" w14:textId="77777777" w:rsidR="005A4F95" w:rsidRDefault="005A4F95" w:rsidP="0045023D">
      <w:pPr>
        <w:rPr>
          <w:b/>
        </w:rPr>
      </w:pPr>
    </w:p>
    <w:p w14:paraId="0F7E5A94" w14:textId="77777777" w:rsidR="00A00A5E" w:rsidRPr="00A00A5E" w:rsidRDefault="00A00A5E" w:rsidP="0045023D">
      <w:pPr>
        <w:rPr>
          <w:b/>
        </w:rPr>
      </w:pPr>
    </w:p>
    <w:p w14:paraId="0C854296" w14:textId="0BC0C86A" w:rsidR="0045023D" w:rsidRDefault="0045023D" w:rsidP="0045023D">
      <w:r w:rsidRPr="00C56CBB">
        <w:rPr>
          <w:b/>
        </w:rPr>
        <w:t>ORDERING:</w:t>
      </w:r>
      <w:r>
        <w:t xml:space="preserve"> You can now order KNOX equipment on-line by simply selecting “Online Purchase” from the KNOX Company homepage at: </w:t>
      </w:r>
      <w:hyperlink r:id="rId18" w:history="1">
        <w:r w:rsidR="002A0293" w:rsidRPr="0003442B">
          <w:rPr>
            <w:rStyle w:val="Hyperlink"/>
          </w:rPr>
          <w:t>info@knoxbox.com</w:t>
        </w:r>
      </w:hyperlink>
      <w:r w:rsidR="002A0293">
        <w:t>, 800-552-5669</w:t>
      </w:r>
      <w:r w:rsidR="00E90755">
        <w:t xml:space="preserve"> or from SENTRY TECHNOLOGY PRODUCTS at 720-710-5669</w:t>
      </w:r>
      <w:r w:rsidR="002A0293">
        <w:t xml:space="preserve"> (Denver, CO)</w:t>
      </w:r>
      <w:r>
        <w:t xml:space="preserve">. </w:t>
      </w:r>
      <w:r w:rsidR="002A0293">
        <w:t xml:space="preserve">Please contact Lieutenant/Fire Inspector Curtis Kauffman (Fire Prevention Division) prior to ordering any Knox products. </w:t>
      </w:r>
      <w:r w:rsidRPr="002A0293">
        <w:rPr>
          <w:b/>
          <w:u w:val="single"/>
        </w:rPr>
        <w:t>All KNOX</w:t>
      </w:r>
      <w:r>
        <w:t xml:space="preserve"> equipment will be shipped to the Falcon Fire </w:t>
      </w:r>
      <w:r w:rsidR="00752842">
        <w:t>Protection District office</w:t>
      </w:r>
      <w:r>
        <w:t xml:space="preserve"> and you will be notified when it is available for pickup.</w:t>
      </w:r>
    </w:p>
    <w:p w14:paraId="2703F91F" w14:textId="5E78E826" w:rsidR="0045023D" w:rsidRDefault="0045023D" w:rsidP="0045023D">
      <w:pPr>
        <w:rPr>
          <w:sz w:val="56"/>
          <w:szCs w:val="56"/>
        </w:rPr>
      </w:pPr>
    </w:p>
    <w:sectPr w:rsidR="0045023D" w:rsidSect="00E201A8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10703" w14:textId="77777777" w:rsidR="00E90755" w:rsidRDefault="00E90755" w:rsidP="00E90755">
      <w:r>
        <w:separator/>
      </w:r>
    </w:p>
  </w:endnote>
  <w:endnote w:type="continuationSeparator" w:id="0">
    <w:p w14:paraId="71781F44" w14:textId="77777777" w:rsidR="00E90755" w:rsidRDefault="00E90755" w:rsidP="00E9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CE904" w14:textId="116F0A00" w:rsidR="00E90755" w:rsidRPr="00344713" w:rsidRDefault="00E90755" w:rsidP="00E90755">
    <w:pPr>
      <w:pStyle w:val="Footer"/>
      <w:jc w:val="right"/>
      <w:rPr>
        <w:sz w:val="16"/>
        <w:szCs w:val="16"/>
      </w:rPr>
    </w:pPr>
    <w:r w:rsidRPr="00344713">
      <w:rPr>
        <w:sz w:val="16"/>
        <w:szCs w:val="16"/>
      </w:rPr>
      <w:t>CLK-01/30/2025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F4D6D" w14:textId="77777777" w:rsidR="00E90755" w:rsidRDefault="00E90755" w:rsidP="00E90755">
      <w:r>
        <w:separator/>
      </w:r>
    </w:p>
  </w:footnote>
  <w:footnote w:type="continuationSeparator" w:id="0">
    <w:p w14:paraId="015D8E81" w14:textId="77777777" w:rsidR="00E90755" w:rsidRDefault="00E90755" w:rsidP="00E90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7B3D"/>
    <w:multiLevelType w:val="hybridMultilevel"/>
    <w:tmpl w:val="C61480FC"/>
    <w:lvl w:ilvl="0" w:tplc="683659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1967DC"/>
    <w:multiLevelType w:val="hybridMultilevel"/>
    <w:tmpl w:val="4C9088D4"/>
    <w:lvl w:ilvl="0" w:tplc="D6A4E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FD"/>
    <w:rsid w:val="000432A6"/>
    <w:rsid w:val="00051194"/>
    <w:rsid w:val="00061A77"/>
    <w:rsid w:val="00064D07"/>
    <w:rsid w:val="00076DE4"/>
    <w:rsid w:val="000A1F6A"/>
    <w:rsid w:val="000F5D12"/>
    <w:rsid w:val="001063FD"/>
    <w:rsid w:val="00125A5E"/>
    <w:rsid w:val="0014290D"/>
    <w:rsid w:val="00146BA6"/>
    <w:rsid w:val="001D1CCC"/>
    <w:rsid w:val="001D6147"/>
    <w:rsid w:val="00232CA4"/>
    <w:rsid w:val="00253CCD"/>
    <w:rsid w:val="00274ED3"/>
    <w:rsid w:val="00292166"/>
    <w:rsid w:val="002A0293"/>
    <w:rsid w:val="002B29A4"/>
    <w:rsid w:val="002B3F75"/>
    <w:rsid w:val="002D0257"/>
    <w:rsid w:val="00320F63"/>
    <w:rsid w:val="00344713"/>
    <w:rsid w:val="0036337B"/>
    <w:rsid w:val="003736E6"/>
    <w:rsid w:val="00382D9F"/>
    <w:rsid w:val="003A2BD7"/>
    <w:rsid w:val="003A324A"/>
    <w:rsid w:val="003D6D7E"/>
    <w:rsid w:val="003E649C"/>
    <w:rsid w:val="003F5681"/>
    <w:rsid w:val="00433319"/>
    <w:rsid w:val="00441207"/>
    <w:rsid w:val="00445B13"/>
    <w:rsid w:val="0045023D"/>
    <w:rsid w:val="004B0752"/>
    <w:rsid w:val="004C5023"/>
    <w:rsid w:val="004E7F54"/>
    <w:rsid w:val="004F5601"/>
    <w:rsid w:val="005442CE"/>
    <w:rsid w:val="00592A59"/>
    <w:rsid w:val="005A4F95"/>
    <w:rsid w:val="005A7C6E"/>
    <w:rsid w:val="005B1159"/>
    <w:rsid w:val="005E29C4"/>
    <w:rsid w:val="005E3E42"/>
    <w:rsid w:val="00602504"/>
    <w:rsid w:val="006136BE"/>
    <w:rsid w:val="00621F90"/>
    <w:rsid w:val="0063117D"/>
    <w:rsid w:val="006543FC"/>
    <w:rsid w:val="00681217"/>
    <w:rsid w:val="00697595"/>
    <w:rsid w:val="006B290C"/>
    <w:rsid w:val="006E1943"/>
    <w:rsid w:val="006F5375"/>
    <w:rsid w:val="00712841"/>
    <w:rsid w:val="00747A52"/>
    <w:rsid w:val="00752842"/>
    <w:rsid w:val="00762CC0"/>
    <w:rsid w:val="00777E06"/>
    <w:rsid w:val="00793917"/>
    <w:rsid w:val="007948A4"/>
    <w:rsid w:val="007B1F99"/>
    <w:rsid w:val="007B674E"/>
    <w:rsid w:val="007D0C51"/>
    <w:rsid w:val="007E42BF"/>
    <w:rsid w:val="007E659B"/>
    <w:rsid w:val="008019C8"/>
    <w:rsid w:val="0080798D"/>
    <w:rsid w:val="00810016"/>
    <w:rsid w:val="008107F6"/>
    <w:rsid w:val="008250CD"/>
    <w:rsid w:val="0082532A"/>
    <w:rsid w:val="008325A7"/>
    <w:rsid w:val="00851960"/>
    <w:rsid w:val="0087547C"/>
    <w:rsid w:val="008A293F"/>
    <w:rsid w:val="008B4651"/>
    <w:rsid w:val="00922A0D"/>
    <w:rsid w:val="009272FC"/>
    <w:rsid w:val="0093540F"/>
    <w:rsid w:val="00950251"/>
    <w:rsid w:val="00971D13"/>
    <w:rsid w:val="009E19D9"/>
    <w:rsid w:val="00A00A5E"/>
    <w:rsid w:val="00A224B4"/>
    <w:rsid w:val="00A32E69"/>
    <w:rsid w:val="00A60BDB"/>
    <w:rsid w:val="00A91C4C"/>
    <w:rsid w:val="00AB5642"/>
    <w:rsid w:val="00AD5441"/>
    <w:rsid w:val="00AE4D8F"/>
    <w:rsid w:val="00AF270B"/>
    <w:rsid w:val="00B1358E"/>
    <w:rsid w:val="00B55ECA"/>
    <w:rsid w:val="00B60E59"/>
    <w:rsid w:val="00B763F0"/>
    <w:rsid w:val="00BA20EE"/>
    <w:rsid w:val="00BA3677"/>
    <w:rsid w:val="00BA72A9"/>
    <w:rsid w:val="00BB6CA3"/>
    <w:rsid w:val="00BE3C41"/>
    <w:rsid w:val="00C31BFD"/>
    <w:rsid w:val="00C460BE"/>
    <w:rsid w:val="00C56CBB"/>
    <w:rsid w:val="00C5734A"/>
    <w:rsid w:val="00C952E4"/>
    <w:rsid w:val="00D00CB4"/>
    <w:rsid w:val="00D04AEA"/>
    <w:rsid w:val="00D04C0A"/>
    <w:rsid w:val="00D121C8"/>
    <w:rsid w:val="00D13B03"/>
    <w:rsid w:val="00D16F24"/>
    <w:rsid w:val="00D3284E"/>
    <w:rsid w:val="00D90AD4"/>
    <w:rsid w:val="00DA0018"/>
    <w:rsid w:val="00DA5F70"/>
    <w:rsid w:val="00DA733B"/>
    <w:rsid w:val="00DC5E2D"/>
    <w:rsid w:val="00DC66CE"/>
    <w:rsid w:val="00E201A8"/>
    <w:rsid w:val="00E349DF"/>
    <w:rsid w:val="00E34B80"/>
    <w:rsid w:val="00E37C76"/>
    <w:rsid w:val="00E52E82"/>
    <w:rsid w:val="00E56F3F"/>
    <w:rsid w:val="00E90300"/>
    <w:rsid w:val="00E90755"/>
    <w:rsid w:val="00EB15D8"/>
    <w:rsid w:val="00EB7280"/>
    <w:rsid w:val="00EC0A44"/>
    <w:rsid w:val="00ED3D0B"/>
    <w:rsid w:val="00EF2014"/>
    <w:rsid w:val="00EF54B5"/>
    <w:rsid w:val="00F15D73"/>
    <w:rsid w:val="00F30BB3"/>
    <w:rsid w:val="00F4123D"/>
    <w:rsid w:val="00F46CCD"/>
    <w:rsid w:val="00F50101"/>
    <w:rsid w:val="00F509A2"/>
    <w:rsid w:val="00F652E6"/>
    <w:rsid w:val="00F82AFC"/>
    <w:rsid w:val="00FA2503"/>
    <w:rsid w:val="00FC09E5"/>
    <w:rsid w:val="00FC5DA4"/>
    <w:rsid w:val="00FD7671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557FA247"/>
  <w15:chartTrackingRefBased/>
  <w15:docId w15:val="{8EE8E29C-BEF6-462B-8816-3C2FE83D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C31BFD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szCs w:val="20"/>
    </w:rPr>
  </w:style>
  <w:style w:type="paragraph" w:styleId="BalloonText">
    <w:name w:val="Balloon Text"/>
    <w:basedOn w:val="Normal"/>
    <w:semiHidden/>
    <w:rsid w:val="00C952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1207"/>
    <w:pPr>
      <w:ind w:left="720"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592A59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712841"/>
    <w:pPr>
      <w:spacing w:after="220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link w:val="BodyText"/>
    <w:rsid w:val="00712841"/>
    <w:rPr>
      <w:rFonts w:ascii="Arial" w:hAnsi="Arial"/>
      <w:spacing w:val="-5"/>
    </w:rPr>
  </w:style>
  <w:style w:type="paragraph" w:customStyle="1" w:styleId="InsideAddress">
    <w:name w:val="Inside Address"/>
    <w:basedOn w:val="Normal"/>
    <w:rsid w:val="00712841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yperlink">
    <w:name w:val="Hyperlink"/>
    <w:rsid w:val="00C5734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573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E90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0755"/>
    <w:rPr>
      <w:sz w:val="24"/>
      <w:szCs w:val="24"/>
    </w:rPr>
  </w:style>
  <w:style w:type="paragraph" w:styleId="Footer">
    <w:name w:val="footer"/>
    <w:basedOn w:val="Normal"/>
    <w:link w:val="FooterChar"/>
    <w:rsid w:val="00E90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907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info@knoxbox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8f4a50-8db5-41de-ac0f-91a1b6cb4a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C2B400B15054B8A20ADC38FAB2B36" ma:contentTypeVersion="15" ma:contentTypeDescription="Create a new document." ma:contentTypeScope="" ma:versionID="60002082db0b19c8b4c6f1dce733f2ea">
  <xsd:schema xmlns:xsd="http://www.w3.org/2001/XMLSchema" xmlns:xs="http://www.w3.org/2001/XMLSchema" xmlns:p="http://schemas.microsoft.com/office/2006/metadata/properties" xmlns:ns3="da8f4a50-8db5-41de-ac0f-91a1b6cb4abf" targetNamespace="http://schemas.microsoft.com/office/2006/metadata/properties" ma:root="true" ma:fieldsID="3788a23fda9a45629740ce2fc92983b4" ns3:_="">
    <xsd:import namespace="da8f4a50-8db5-41de-ac0f-91a1b6cb4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f4a50-8db5-41de-ac0f-91a1b6cb4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C9B3D-EB9C-49D1-A3F6-614A493AC3BE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a8f4a50-8db5-41de-ac0f-91a1b6cb4abf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333E2B-0007-4172-9191-FC8411C51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A5C62-E1F5-4DA9-B42F-C45312695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f4a50-8db5-41de-ac0f-91a1b6cb4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724CF5-7FF9-4582-80E2-D36485F7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FALCON FIRE PROTECTION DISTRICT</vt:lpstr>
    </vt:vector>
  </TitlesOfParts>
  <Company>Falcon Fire Protection District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FALCON FIRE PROTECTION DISTRICT</dc:title>
  <dc:subject/>
  <dc:creator>Gretchen Tetzlaff</dc:creator>
  <cp:keywords/>
  <dc:description/>
  <cp:lastModifiedBy>Curtis Kauffman</cp:lastModifiedBy>
  <cp:revision>2</cp:revision>
  <cp:lastPrinted>2025-01-30T20:30:00Z</cp:lastPrinted>
  <dcterms:created xsi:type="dcterms:W3CDTF">2025-01-31T20:57:00Z</dcterms:created>
  <dcterms:modified xsi:type="dcterms:W3CDTF">2025-01-31T20:57:00Z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0x010100311C2B400B15054B8A20ADC38FAB2B36</vt:lpwstr>
  </property>
</Properties>
</file>